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E904D">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40" w:lineRule="exact"/>
        <w:ind w:right="0" w:rightChars="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2：</w:t>
      </w:r>
    </w:p>
    <w:p w14:paraId="617441F8">
      <w:pPr>
        <w:pStyle w:val="2"/>
        <w:keepNext w:val="0"/>
        <w:keepLines w:val="0"/>
        <w:widowControl/>
        <w:suppressLineNumbers w:val="0"/>
        <w:ind w:left="1129" w:leftChars="0" w:hanging="1129" w:hangingChars="353"/>
        <w:jc w:val="center"/>
        <w:rPr>
          <w:rFonts w:hint="eastAsia" w:ascii="方正黑体_GBK" w:hAnsi="方正黑体_GBK" w:eastAsia="方正黑体_GBK" w:cs="方正黑体_GBK"/>
          <w:b w:val="0"/>
          <w:bCs w:val="0"/>
          <w:sz w:val="32"/>
          <w:szCs w:val="32"/>
        </w:rPr>
      </w:pPr>
      <w:bookmarkStart w:id="0" w:name="_GoBack"/>
      <w:r>
        <w:rPr>
          <w:rFonts w:hint="eastAsia" w:ascii="方正黑体_GBK" w:hAnsi="方正黑体_GBK" w:eastAsia="方正黑体_GBK" w:cs="方正黑体_GBK"/>
          <w:b w:val="0"/>
          <w:bCs w:val="0"/>
          <w:sz w:val="32"/>
          <w:szCs w:val="32"/>
        </w:rPr>
        <w:t>镇江市第四人民医院医用氧站防雷专项设计项目需求</w:t>
      </w:r>
      <w:r>
        <w:rPr>
          <w:rFonts w:hint="eastAsia" w:ascii="方正黑体_GBK" w:hAnsi="方正黑体_GBK" w:eastAsia="方正黑体_GBK" w:cs="方正黑体_GBK"/>
          <w:b w:val="0"/>
          <w:bCs w:val="0"/>
          <w:sz w:val="32"/>
          <w:szCs w:val="32"/>
          <w:lang w:eastAsia="zh-CN"/>
        </w:rPr>
        <w:t>清</w:t>
      </w:r>
      <w:r>
        <w:rPr>
          <w:rFonts w:hint="eastAsia" w:ascii="方正黑体_GBK" w:hAnsi="方正黑体_GBK" w:eastAsia="方正黑体_GBK" w:cs="方正黑体_GBK"/>
          <w:b w:val="0"/>
          <w:bCs w:val="0"/>
          <w:sz w:val="32"/>
          <w:szCs w:val="32"/>
        </w:rPr>
        <w:t>单</w:t>
      </w:r>
    </w:p>
    <w:bookmarkEnd w:id="0"/>
    <w:p w14:paraId="5EF2988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本项目为镇江市第四人民医院医用液氧站（中心供氧站）防雷专项设计。液氧站属于易燃易爆氧化性危险场所，需按现行法规完成雷电防护装置设计审核及竣工验收相关</w:t>
      </w:r>
      <w:r>
        <w:rPr>
          <w:rFonts w:hint="eastAsia" w:ascii="方正仿宋_GBK" w:hAnsi="方正仿宋_GBK" w:eastAsia="方正仿宋_GBK" w:cs="方正仿宋_GBK"/>
          <w:b w:val="0"/>
          <w:bCs w:val="0"/>
          <w:sz w:val="32"/>
          <w:szCs w:val="32"/>
        </w:rPr>
        <w:t>配合工作。</w:t>
      </w:r>
      <w:r>
        <w:rPr>
          <w:rStyle w:val="7"/>
          <w:rFonts w:hint="eastAsia" w:ascii="方正仿宋_GBK" w:hAnsi="方正仿宋_GBK" w:eastAsia="方正仿宋_GBK" w:cs="方正仿宋_GBK"/>
          <w:b w:val="0"/>
          <w:bCs w:val="0"/>
          <w:sz w:val="32"/>
          <w:szCs w:val="32"/>
        </w:rPr>
        <w:t>设计必须严格执行工程建设强制性国家标准，当不同标准条文发生冲突时，以工程建设强制性国家标准为准</w:t>
      </w:r>
      <w:r>
        <w:rPr>
          <w:rFonts w:hint="eastAsia" w:ascii="方正仿宋_GBK" w:hAnsi="方正仿宋_GBK" w:eastAsia="方正仿宋_GBK" w:cs="方正仿宋_GBK"/>
          <w:b w:val="0"/>
          <w:bCs w:val="0"/>
          <w:sz w:val="32"/>
          <w:szCs w:val="32"/>
        </w:rPr>
        <w:t>，结合规范及雷电风险评估复核，按照第二类防雷建</w:t>
      </w:r>
      <w:r>
        <w:rPr>
          <w:rFonts w:hint="eastAsia" w:ascii="方正仿宋_GBK" w:hAnsi="方正仿宋_GBK" w:eastAsia="方正仿宋_GBK" w:cs="方正仿宋_GBK"/>
          <w:sz w:val="32"/>
          <w:szCs w:val="32"/>
        </w:rPr>
        <w:t>筑物标准开展防雷防静电专项设计。</w:t>
      </w:r>
    </w:p>
    <w:p w14:paraId="40639B8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一、项目基本信息</w:t>
      </w:r>
    </w:p>
    <w:p w14:paraId="19BC569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项目地点位于镇江市第四人民医院院内医用液氧站区域，工作内容包含现场踏勘、雷电风险评估、专项施工图设计、报审及验收全过程技术服务。设计对象覆盖液氧储罐、汽化器、氧气调压组、站内工艺管道、放散排空管、站房建筑、自控仪表及供电系统。项目成果需满足镇江市气象主管部门对易燃易爆场所雷电防护装置设计审核、竣工验收的相关管理要求。</w:t>
      </w:r>
    </w:p>
    <w:p w14:paraId="6C3130D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二、设计应当遵循的现行标准、法规文件</w:t>
      </w:r>
    </w:p>
    <w:p w14:paraId="1753B7D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方正仿宋_GBK" w:hAnsi="方正仿宋_GBK" w:eastAsia="方正仿宋_GBK" w:cs="方正仿宋_GBK"/>
          <w:b w:val="0"/>
          <w:bCs w:val="0"/>
          <w:sz w:val="32"/>
          <w:szCs w:val="32"/>
        </w:rPr>
      </w:pPr>
      <w:r>
        <w:rPr>
          <w:rStyle w:val="7"/>
          <w:rFonts w:hint="eastAsia" w:ascii="方正仿宋_GBK" w:hAnsi="方正仿宋_GBK" w:eastAsia="方正仿宋_GBK" w:cs="方正仿宋_GBK"/>
          <w:b w:val="0"/>
          <w:bCs w:val="0"/>
          <w:sz w:val="32"/>
          <w:szCs w:val="32"/>
        </w:rPr>
        <w:t>工程建设强制性国家标准必须100%严格执行；配套行业、推荐性国家标准参照执行，其技术要求不得低于强制性国家标准要求，条文冲突以工程建设强制性国家标准优先。</w:t>
      </w:r>
    </w:p>
    <w:p w14:paraId="5AC58E95">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630" w:leftChars="300" w:firstLine="0" w:firstLineChars="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《建筑电气与智能化通用规范》GB 55024</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sz w:val="32"/>
          <w:szCs w:val="32"/>
        </w:rPr>
        <w:t>2022</w:t>
      </w:r>
    </w:p>
    <w:p w14:paraId="3915C9AD">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630" w:leftChars="300" w:firstLine="0" w:firstLineChars="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《建筑物防雷设计规范》GB 50057</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sz w:val="32"/>
          <w:szCs w:val="32"/>
        </w:rPr>
        <w:t>2010</w:t>
      </w:r>
    </w:p>
    <w:p w14:paraId="423AB623">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630" w:leftChars="300" w:firstLine="0" w:firstLineChars="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《氧气站设计规范》GB 50030</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sz w:val="32"/>
          <w:szCs w:val="32"/>
        </w:rPr>
        <w:t>2013</w:t>
      </w:r>
    </w:p>
    <w:p w14:paraId="7D0CF625">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630" w:leftChars="300" w:firstLine="0" w:firstLineChars="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《医用气体工程技术规范》GB 50751</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sz w:val="32"/>
          <w:szCs w:val="32"/>
        </w:rPr>
        <w:t>2012</w:t>
      </w:r>
    </w:p>
    <w:p w14:paraId="3CF2BC58">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630" w:leftChars="300" w:firstLine="0" w:firstLineChars="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《爆炸危险环境电力装置设计规范》GB 50058</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sz w:val="32"/>
          <w:szCs w:val="32"/>
        </w:rPr>
        <w:t>2014</w:t>
      </w:r>
    </w:p>
    <w:p w14:paraId="038DD5A3">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0" w:leftChars="0" w:firstLine="630" w:firstLineChars="197"/>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《建筑物电子信息系统防雷技术标准》GB/T 50343</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sz w:val="32"/>
          <w:szCs w:val="32"/>
        </w:rPr>
        <w:t>2023</w:t>
      </w:r>
    </w:p>
    <w:p w14:paraId="2019B58B">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0" w:leftChars="0" w:firstLine="640" w:firstLineChars="200"/>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《深度冷冻法生产氧气及相关气体安全技术规程》GB 16912</w:t>
      </w:r>
      <w:r>
        <w:rPr>
          <w:rFonts w:hint="eastAsia" w:ascii="方正仿宋_GBK" w:hAnsi="方正仿宋_GBK" w:eastAsia="方正仿宋_GBK" w:cs="方正仿宋_GBK"/>
          <w:b w:val="0"/>
          <w:bCs w:val="0"/>
          <w:sz w:val="32"/>
          <w:szCs w:val="32"/>
          <w:lang w:val="en-US" w:eastAsia="zh-CN"/>
        </w:rPr>
        <w:t>-</w:t>
      </w:r>
      <w:r>
        <w:rPr>
          <w:rFonts w:hint="eastAsia" w:ascii="方正仿宋_GBK" w:hAnsi="方正仿宋_GBK" w:eastAsia="方正仿宋_GBK" w:cs="方正仿宋_GBK"/>
          <w:b w:val="0"/>
          <w:bCs w:val="0"/>
          <w:sz w:val="32"/>
          <w:szCs w:val="32"/>
        </w:rPr>
        <w:t>2008</w:t>
      </w:r>
    </w:p>
    <w:p w14:paraId="54BDAC9A">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0" w:leftChars="0" w:firstLine="630" w:firstLineChars="197"/>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国发〔2016〕39号《关于优化建设工程防雷许可的决定》</w:t>
      </w:r>
    </w:p>
    <w:p w14:paraId="60FCAD08">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0" w:leftChars="0" w:firstLine="630" w:firstLineChars="197"/>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中国气象局令第37号《雷电防护装置设计审核和竣工验收规定》</w:t>
      </w:r>
    </w:p>
    <w:p w14:paraId="2C30CD54">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40" w:lineRule="exact"/>
        <w:ind w:left="0" w:leftChars="0" w:firstLine="630" w:firstLineChars="197"/>
        <w:jc w:val="left"/>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江苏省及镇江市气象主管部门现行审查验收相关管理规定</w:t>
      </w:r>
      <w:r>
        <w:rPr>
          <w:rFonts w:hint="eastAsia" w:ascii="方正仿宋_GBK" w:hAnsi="方正仿宋_GBK" w:eastAsia="方正仿宋_GBK" w:cs="方正仿宋_GBK"/>
          <w:b w:val="0"/>
          <w:bCs w:val="0"/>
          <w:sz w:val="32"/>
          <w:szCs w:val="32"/>
          <w:lang w:eastAsia="zh-CN"/>
        </w:rPr>
        <w:t>。</w:t>
      </w:r>
    </w:p>
    <w:p w14:paraId="3EB2753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三、投标人基本条件</w:t>
      </w:r>
    </w:p>
    <w:p w14:paraId="26170DE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b w:val="0"/>
          <w:bCs w:val="0"/>
          <w:sz w:val="32"/>
          <w:szCs w:val="32"/>
          <w:lang w:eastAsia="zh-CN"/>
        </w:rPr>
        <w:t>（一）</w:t>
      </w:r>
      <w:r>
        <w:rPr>
          <w:rFonts w:hint="eastAsia" w:ascii="方正仿宋_GBK" w:hAnsi="方正仿宋_GBK" w:eastAsia="方正仿宋_GBK" w:cs="方正仿宋_GBK"/>
          <w:sz w:val="32"/>
          <w:szCs w:val="32"/>
        </w:rPr>
        <w:t>投标单位须为独立法人主体，能够独立承担民事责任，具备开展本项目防雷专项设计的技术能力，经营范围能够覆盖本项目设计服务内容。</w:t>
      </w:r>
    </w:p>
    <w:p w14:paraId="7953561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lang w:eastAsia="zh-CN"/>
        </w:rPr>
        <w:t>（二）</w:t>
      </w:r>
      <w:r>
        <w:rPr>
          <w:rFonts w:hint="eastAsia" w:ascii="方正仿宋_GBK" w:hAnsi="方正仿宋_GBK" w:eastAsia="方正仿宋_GBK" w:cs="方正仿宋_GBK"/>
          <w:sz w:val="32"/>
          <w:szCs w:val="32"/>
        </w:rPr>
        <w:t>投标单位项目负责人应熟悉易燃易爆场所防雷防静电相关规范，能够负责项目全过程对接沟通、图纸报审协调、施工交底、配合验收等工作。</w:t>
      </w:r>
    </w:p>
    <w:p w14:paraId="78FBC67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lang w:eastAsia="zh-CN"/>
        </w:rPr>
        <w:t>（三）</w:t>
      </w:r>
      <w:r>
        <w:rPr>
          <w:rFonts w:hint="eastAsia" w:ascii="方正仿宋_GBK" w:hAnsi="方正仿宋_GBK" w:eastAsia="方正仿宋_GBK" w:cs="方正仿宋_GBK"/>
          <w:sz w:val="32"/>
          <w:szCs w:val="32"/>
        </w:rPr>
        <w:t>项目团队应配备能够胜任富氧环境防静电、氧气管道跨接、储罐防雷、爆炸危险区域电气防雷设计工作的专业技术人员。</w:t>
      </w:r>
    </w:p>
    <w:p w14:paraId="1B4C698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四、设计服务工作范围</w:t>
      </w:r>
    </w:p>
    <w:p w14:paraId="159338A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方正仿宋_GBK" w:hAnsi="方正仿宋_GBK" w:eastAsia="方正仿宋_GBK" w:cs="方正仿宋_GBK"/>
          <w:b w:val="0"/>
          <w:bCs/>
          <w:sz w:val="32"/>
          <w:szCs w:val="32"/>
        </w:rPr>
      </w:pPr>
      <w:r>
        <w:rPr>
          <w:rFonts w:hint="eastAsia" w:ascii="方正仿宋_GBK" w:hAnsi="方正仿宋_GBK" w:eastAsia="方正仿宋_GBK" w:cs="方正仿宋_GBK"/>
          <w:sz w:val="32"/>
          <w:szCs w:val="32"/>
        </w:rPr>
        <w:t>设计单位需要完成本项目全部防雷专项设计相关工作，</w:t>
      </w:r>
      <w:r>
        <w:rPr>
          <w:rStyle w:val="7"/>
          <w:rFonts w:hint="eastAsia" w:ascii="方正仿宋_GBK" w:hAnsi="方正仿宋_GBK" w:eastAsia="方正仿宋_GBK" w:cs="方正仿宋_GBK"/>
          <w:b w:val="0"/>
          <w:bCs/>
          <w:sz w:val="32"/>
          <w:szCs w:val="32"/>
        </w:rPr>
        <w:t>所有设计内容不得违反工程建设强制性国家标准要求</w:t>
      </w:r>
      <w:r>
        <w:rPr>
          <w:rFonts w:hint="eastAsia" w:ascii="方正仿宋_GBK" w:hAnsi="方正仿宋_GBK" w:eastAsia="方正仿宋_GBK" w:cs="方正仿宋_GBK"/>
          <w:b w:val="0"/>
          <w:bCs/>
          <w:sz w:val="32"/>
          <w:szCs w:val="32"/>
        </w:rPr>
        <w:t>，主要工作内容如下：</w:t>
      </w:r>
    </w:p>
    <w:p w14:paraId="411ABA5F">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开展现场踏勘、现状摸排，对院内现有氧站建筑、储罐、工艺管道、接地设施、自控仪表、供电系统现状进行调研，完成医用液氧站雷电灾害专项风险评估，形成风险评估说明材料。</w:t>
      </w:r>
    </w:p>
    <w:p w14:paraId="7FF171E1">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编制第二类防雷建筑物完整防雷设计方案，方案包含直击雷防护、雷电感应防护、防静电措施、等电位联结、浪涌保护、接地系统全部内容，方案各项技术不得低于工程建设强制性国家标准规定。</w:t>
      </w:r>
    </w:p>
    <w:p w14:paraId="2305C406">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完成站房屋面接闪系统、引下线、站内接地网的专项设计；对现场原有接地系统现状进行分析，如需完善改造则同步出具相应设计内容。</w:t>
      </w:r>
    </w:p>
    <w:p w14:paraId="307BFF82">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开展液氧储罐防雷防静电专项设计，储罐接地不少于2处，接地点沿罐体圆周尽量均匀布置，两点弧长不宜大于罐体周长二分之一，完成罐体接闪保护范围校核。</w:t>
      </w:r>
    </w:p>
    <w:p w14:paraId="32D55E9E">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落实氧气系统防静电设计，完成站内及室外氧气管道、绝缘法兰、管道接头防静电跨接设计；开展全域等电位联结设计，站内金属构架、设备底座、金属门窗、管道支架、汽化器、调压装置等金属构件纳入等电位联结范围。</w:t>
      </w:r>
    </w:p>
    <w:p w14:paraId="37DB7314">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完成氧气放散管、排空口的接闪保护范围校核，落实对应的防护设计。</w:t>
      </w:r>
    </w:p>
    <w:p w14:paraId="7D2D15F0">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完成供电系统B级电源浪涌保护器（SPD）选型、参数校核及布置设计；针对液位、压力等自控传感器，开展信号浪涌保护器选型与布置设计。</w:t>
      </w:r>
    </w:p>
    <w:p w14:paraId="4D47B26D">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结合氧站爆炸危险区域划分，落实防爆电气与防雷浪涌保护器相匹配的设计。</w:t>
      </w:r>
    </w:p>
    <w:p w14:paraId="38D49565">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编制全套防雷专项施工图、设计总说明，编制主要材料设备清单，明确接地电阻控制参数。</w:t>
      </w:r>
    </w:p>
    <w:p w14:paraId="09FBC0B3">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提供全过程技术服务，配合镇江市气象主管部门防雷报审、图纸答疑；开展施工技术交底、响应设计变更答疑；配合现场检测以及竣工验收相关工作，直至防雷装置审核、验收工作完成。</w:t>
      </w:r>
    </w:p>
    <w:p w14:paraId="297103E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五、核心设计技术要求</w:t>
      </w:r>
    </w:p>
    <w:p w14:paraId="59B874E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以下指标均不得低于工程建设强制性国家标准以及对应规范强制性条文要求：</w:t>
      </w:r>
    </w:p>
    <w:p w14:paraId="58A259F0">
      <w:pPr>
        <w:pStyle w:val="4"/>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结合规范及雷电风险评估复核，按照第二类防雷建筑物开展整体防雷设计。</w:t>
      </w:r>
    </w:p>
    <w:p w14:paraId="3A3C7BE7">
      <w:pPr>
        <w:pStyle w:val="4"/>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液氧储罐冲击接地电阻不大于30Ω。</w:t>
      </w:r>
    </w:p>
    <w:p w14:paraId="2361D208">
      <w:pPr>
        <w:pStyle w:val="4"/>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氧气设备、氧气管道防静电接地电阻不大于10Ω</w:t>
      </w:r>
    </w:p>
    <w:p w14:paraId="5CA5EC1F">
      <w:pPr>
        <w:pStyle w:val="4"/>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绝缘法兰、管道接头，接头间电阻大于0.03Ω时应设置防静电跨接，跨接后接头电阻小于0.03Ω。</w:t>
      </w:r>
    </w:p>
    <w:p w14:paraId="77CC3FB6">
      <w:pPr>
        <w:pStyle w:val="4"/>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氧气管道进出建筑物外墙位置应接地；室外氧气管道每80</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100米、管道分岔以及转弯位置应设置重复接地。</w:t>
      </w:r>
    </w:p>
    <w:p w14:paraId="5363B132">
      <w:pPr>
        <w:pStyle w:val="4"/>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站内采用联合等电位接地形式，站内各类金属构件、设备外壳、管道支架统一做等电位联结。</w:t>
      </w:r>
    </w:p>
    <w:p w14:paraId="0BA65EB2">
      <w:pPr>
        <w:pStyle w:val="4"/>
        <w:keepNext w:val="0"/>
        <w:keepLines w:val="0"/>
        <w:pageBreakBefore w:val="0"/>
        <w:widowControl/>
        <w:numPr>
          <w:ilvl w:val="0"/>
          <w:numId w:val="3"/>
        </w:numPr>
        <w:suppressLineNumbers w:val="0"/>
        <w:kinsoku/>
        <w:wordWrap/>
        <w:overflowPunct/>
        <w:topLinePunct w:val="0"/>
        <w:autoSpaceDE/>
        <w:autoSpaceDN/>
        <w:bidi w:val="0"/>
        <w:adjustRightInd/>
        <w:snapToGrid/>
        <w:spacing w:beforeAutospacing="0" w:afterAutospacing="0" w:line="540" w:lineRule="exact"/>
        <w:ind w:left="0" w:leftChars="0" w:right="0" w:righ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液氧站液位、压力传感器应配置适配的专用信号浪涌保护装置。</w:t>
      </w:r>
    </w:p>
    <w:p w14:paraId="12009F7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六、交付成果要求</w:t>
      </w:r>
    </w:p>
    <w:p w14:paraId="51C190D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设计单位需提交纸质版以及可编辑电子版全套成果资料，成果文件应当满足镇江市气象主管部门报审使用要求，可直接用于雷电防护装置设计审核申报。所有设计图纸、说明文件必须明确注明遵循的</w:t>
      </w:r>
      <w:r>
        <w:rPr>
          <w:rStyle w:val="7"/>
          <w:rFonts w:hint="eastAsia" w:ascii="方正仿宋_GBK" w:hAnsi="方正仿宋_GBK" w:eastAsia="方正仿宋_GBK" w:cs="方正仿宋_GBK"/>
          <w:b w:val="0"/>
          <w:bCs/>
          <w:sz w:val="32"/>
          <w:szCs w:val="32"/>
        </w:rPr>
        <w:t>工程建设强制性国家标准编号</w:t>
      </w:r>
      <w:r>
        <w:rPr>
          <w:rFonts w:hint="eastAsia" w:ascii="方正仿宋_GBK" w:hAnsi="方正仿宋_GBK" w:eastAsia="方正仿宋_GBK" w:cs="方正仿宋_GBK"/>
          <w:sz w:val="32"/>
          <w:szCs w:val="32"/>
        </w:rPr>
        <w:t>。</w:t>
      </w:r>
    </w:p>
    <w:p w14:paraId="765A9F9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交付成果主要包含：</w:t>
      </w:r>
    </w:p>
    <w:p w14:paraId="45559C93">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医用氧站防雷专项设计说明书，说明书内包含易燃易爆场所雷电风险专项分析内容，并专门说明本项目对工程建设强制性国家标准的落实情况。</w:t>
      </w:r>
    </w:p>
    <w:p w14:paraId="21D48311">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医用液氧站雷电灾害专项风险评估说明。</w:t>
      </w:r>
    </w:p>
    <w:p w14:paraId="33578FE3">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全套施工图纸，包含CAD可编辑版本以及PDF正式版本：防雷总平面布置图；接闪器、引下线、接地网系统图；氧气管道防静电跨接、等电位联结专项详图；电源及信号SPD防雷系统布置图与系统原理图。</w:t>
      </w:r>
    </w:p>
    <w:p w14:paraId="5C86250B">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主要材料设备技术参数清单，完整列明接闪、接地、跨接、电源及信号SPD等设备材料技术参数。</w:t>
      </w:r>
    </w:p>
    <w:p w14:paraId="54F12AC0">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接地电阻参数控制说明、施工工艺说明，明确焊接、防腐相关技术要求。</w:t>
      </w:r>
    </w:p>
    <w:p w14:paraId="39B0F348">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防雷报审配套文件以及验收答疑相关资料。</w:t>
      </w:r>
    </w:p>
    <w:p w14:paraId="4E840FA9">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纸质成果提交不少于3套；电子版提交全部CAD源文件、PDF正式图纸文件。</w:t>
      </w:r>
    </w:p>
    <w:p w14:paraId="3E7C733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七、服务质量及验收要求</w:t>
      </w:r>
    </w:p>
    <w:p w14:paraId="0C94CE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lang w:eastAsia="zh-CN"/>
        </w:rPr>
        <w:t>（一）</w:t>
      </w:r>
      <w:r>
        <w:rPr>
          <w:rFonts w:hint="eastAsia" w:ascii="方正仿宋_GBK" w:hAnsi="方正仿宋_GBK" w:eastAsia="方正仿宋_GBK" w:cs="方正仿宋_GBK"/>
          <w:sz w:val="32"/>
          <w:szCs w:val="32"/>
        </w:rPr>
        <w:t>全部设计成果必须严格遵守</w:t>
      </w:r>
      <w:r>
        <w:rPr>
          <w:rStyle w:val="7"/>
          <w:rFonts w:hint="eastAsia" w:ascii="方正仿宋_GBK" w:hAnsi="方正仿宋_GBK" w:eastAsia="方正仿宋_GBK" w:cs="方正仿宋_GBK"/>
          <w:b w:val="0"/>
          <w:bCs/>
          <w:sz w:val="32"/>
          <w:szCs w:val="32"/>
        </w:rPr>
        <w:t>工程建设强制性国家标准</w:t>
      </w:r>
      <w:r>
        <w:rPr>
          <w:rFonts w:hint="eastAsia" w:ascii="方正仿宋_GBK" w:hAnsi="方正仿宋_GBK" w:eastAsia="方正仿宋_GBK" w:cs="方正仿宋_GBK"/>
          <w:sz w:val="32"/>
          <w:szCs w:val="32"/>
        </w:rPr>
        <w:t>，同时满足配套现行规范以及镇江市气象主管部门雷电防护装置设计审核、竣工验收相关要求。</w:t>
      </w:r>
    </w:p>
    <w:p w14:paraId="3E4E3C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lang w:eastAsia="zh-CN"/>
        </w:rPr>
        <w:t>（二）</w:t>
      </w:r>
      <w:r>
        <w:rPr>
          <w:rFonts w:hint="eastAsia" w:ascii="方正仿宋_GBK" w:hAnsi="方正仿宋_GBK" w:eastAsia="方正仿宋_GBK" w:cs="方正仿宋_GBK"/>
          <w:sz w:val="32"/>
          <w:szCs w:val="32"/>
        </w:rPr>
        <w:t>设计单位需在合同约定服务范围内，配合图纸审查、防雷专项审核、施工交底、技术答疑、竣工验收相关工作，配合完成本项目防雷装置审核、竣工验收工作。</w:t>
      </w:r>
    </w:p>
    <w:p w14:paraId="4E995A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lang w:eastAsia="zh-CN"/>
        </w:rPr>
        <w:t>（三）</w:t>
      </w:r>
      <w:r>
        <w:rPr>
          <w:rFonts w:hint="eastAsia" w:ascii="方正仿宋_GBK" w:hAnsi="方正仿宋_GBK" w:eastAsia="方正仿宋_GBK" w:cs="方正仿宋_GBK"/>
          <w:sz w:val="32"/>
          <w:szCs w:val="32"/>
        </w:rPr>
        <w:t>若因设计单位自身设计缺陷、设计内容违反工程建设强制性国家标准或现行国家规范，造成报审不通过、验收不合格的，设计单位应在合同服务范围内无偿完成修改、优化直至审查、验收合格</w:t>
      </w:r>
      <w:r>
        <w:rPr>
          <w:rFonts w:hint="eastAsia" w:ascii="方正仿宋_GBK" w:hAnsi="方正仿宋_GBK" w:eastAsia="方正仿宋_GBK" w:cs="方正仿宋_GBK"/>
          <w:sz w:val="32"/>
          <w:szCs w:val="32"/>
          <w:lang w:eastAsia="zh-CN"/>
        </w:rPr>
        <w:t>。</w:t>
      </w:r>
    </w:p>
    <w:p w14:paraId="444BDB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lang w:eastAsia="zh-CN"/>
        </w:rPr>
        <w:t>（四）</w:t>
      </w:r>
      <w:r>
        <w:rPr>
          <w:rFonts w:hint="eastAsia" w:ascii="方正仿宋_GBK" w:hAnsi="方正仿宋_GBK" w:eastAsia="方正仿宋_GBK" w:cs="方正仿宋_GBK"/>
          <w:sz w:val="32"/>
          <w:szCs w:val="32"/>
        </w:rPr>
        <w:t>设计单位提供项目施工全过程技术支持，响应建设单位、监理单位提出的技术问询，按需开展现场技术交底。</w:t>
      </w:r>
    </w:p>
    <w:p w14:paraId="522559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lang w:eastAsia="zh-CN"/>
        </w:rPr>
        <w:t>（五）</w:t>
      </w:r>
      <w:r>
        <w:rPr>
          <w:rFonts w:hint="eastAsia" w:ascii="方正仿宋_GBK" w:hAnsi="方正仿宋_GBK" w:eastAsia="方正仿宋_GBK" w:cs="方正仿宋_GBK"/>
          <w:sz w:val="32"/>
          <w:szCs w:val="32"/>
        </w:rPr>
        <w:t>设计单位对自身出具全部设计成果的合规性、安全性承担相应设计责任，对违反工程建设强制性国家标准产生的后果承担设计责任。</w:t>
      </w:r>
    </w:p>
    <w:p w14:paraId="15D761B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八、其他通用要求</w:t>
      </w:r>
    </w:p>
    <w:p w14:paraId="6D58D4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工作工期：</w:t>
      </w:r>
      <w:r>
        <w:rPr>
          <w:rFonts w:hint="eastAsia" w:ascii="方正仿宋_GBK" w:hAnsi="方正仿宋_GBK" w:eastAsia="方正仿宋_GBK" w:cs="方正仿宋_GBK"/>
          <w:sz w:val="32"/>
          <w:szCs w:val="32"/>
        </w:rPr>
        <w:t>合同签订后7个工作日内完成现场踏勘工作，15个工作日提交全套设计初稿；收到相关审查意见后5个工作日内完成图纸修改闭环，具体时间可在正式合同中进一步细化约定。</w:t>
      </w:r>
    </w:p>
    <w:p w14:paraId="1141964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lang w:eastAsia="zh-CN"/>
        </w:rPr>
        <w:t>（二）知识产权：</w:t>
      </w:r>
      <w:r>
        <w:rPr>
          <w:rFonts w:hint="eastAsia" w:ascii="方正仿宋_GBK" w:hAnsi="方正仿宋_GBK" w:eastAsia="方正仿宋_GBK" w:cs="方正仿宋_GBK"/>
          <w:sz w:val="32"/>
          <w:szCs w:val="32"/>
        </w:rPr>
        <w:t>本项目全部设计成果知识产权归镇江市第四人民医院所有。</w:t>
      </w:r>
    </w:p>
    <w:p w14:paraId="0296AC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40" w:lineRule="exact"/>
        <w:ind w:firstLine="640" w:firstLineChars="200"/>
        <w:textAlignment w:val="auto"/>
      </w:pPr>
      <w:r>
        <w:rPr>
          <w:rFonts w:hint="eastAsia" w:ascii="方正楷体_GBK" w:hAnsi="方正楷体_GBK" w:eastAsia="方正楷体_GBK" w:cs="方正楷体_GBK"/>
          <w:sz w:val="32"/>
          <w:szCs w:val="32"/>
          <w:lang w:eastAsia="zh-CN"/>
        </w:rPr>
        <w:t>（三）</w:t>
      </w:r>
      <w:r>
        <w:rPr>
          <w:rFonts w:hint="eastAsia" w:ascii="方正仿宋_GBK" w:hAnsi="方正仿宋_GBK" w:eastAsia="方正仿宋_GBK" w:cs="方正仿宋_GBK"/>
          <w:sz w:val="32"/>
          <w:szCs w:val="32"/>
        </w:rPr>
        <w:t>报价包含现场踏勘、风险评估、方案编制、施工图设计、报审配合、验收配合等本项目全部设计服务相关费用，不再产生其他额外服务费用。</w:t>
      </w:r>
    </w:p>
    <w:sectPr>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7E3F6D"/>
    <w:multiLevelType w:val="singleLevel"/>
    <w:tmpl w:val="EF7E3F6D"/>
    <w:lvl w:ilvl="0" w:tentative="0">
      <w:start w:val="1"/>
      <w:numFmt w:val="chineseCounting"/>
      <w:suff w:val="nothing"/>
      <w:lvlText w:val="（%1）"/>
      <w:lvlJc w:val="left"/>
      <w:rPr>
        <w:rFonts w:hint="eastAsia" w:ascii="方正楷体_GBK" w:hAnsi="方正楷体_GBK" w:eastAsia="方正楷体_GBK" w:cs="方正楷体_GBK"/>
        <w:sz w:val="32"/>
        <w:szCs w:val="32"/>
      </w:rPr>
    </w:lvl>
  </w:abstractNum>
  <w:abstractNum w:abstractNumId="1">
    <w:nsid w:val="FFEA370C"/>
    <w:multiLevelType w:val="singleLevel"/>
    <w:tmpl w:val="FFEA370C"/>
    <w:lvl w:ilvl="0" w:tentative="0">
      <w:start w:val="1"/>
      <w:numFmt w:val="chineseCounting"/>
      <w:suff w:val="nothing"/>
      <w:lvlText w:val="（%1）"/>
      <w:lvlJc w:val="left"/>
      <w:rPr>
        <w:rFonts w:hint="eastAsia" w:ascii="方正楷体_GBK" w:hAnsi="方正楷体_GBK" w:eastAsia="方正楷体_GBK" w:cs="方正楷体_GBK"/>
        <w:sz w:val="32"/>
        <w:szCs w:val="32"/>
      </w:rPr>
    </w:lvl>
  </w:abstractNum>
  <w:abstractNum w:abstractNumId="2">
    <w:nsid w:val="45F587DA"/>
    <w:multiLevelType w:val="singleLevel"/>
    <w:tmpl w:val="45F587DA"/>
    <w:lvl w:ilvl="0" w:tentative="0">
      <w:start w:val="1"/>
      <w:numFmt w:val="chineseCounting"/>
      <w:suff w:val="nothing"/>
      <w:lvlText w:val="（%1）"/>
      <w:lvlJc w:val="left"/>
      <w:rPr>
        <w:rFonts w:hint="eastAsia" w:ascii="方正楷体_GBK" w:hAnsi="方正楷体_GBK" w:eastAsia="方正楷体_GBK" w:cs="方正楷体_GBK"/>
        <w:sz w:val="32"/>
        <w:szCs w:val="32"/>
      </w:rPr>
    </w:lvl>
  </w:abstractNum>
  <w:abstractNum w:abstractNumId="3">
    <w:nsid w:val="7E7829B7"/>
    <w:multiLevelType w:val="singleLevel"/>
    <w:tmpl w:val="7E7829B7"/>
    <w:lvl w:ilvl="0" w:tentative="0">
      <w:start w:val="1"/>
      <w:numFmt w:val="chineseCounting"/>
      <w:suff w:val="nothing"/>
      <w:lvlText w:val="（%1）"/>
      <w:lvlJc w:val="left"/>
      <w:rPr>
        <w:rFonts w:hint="eastAsia" w:ascii="方正楷体_GBK" w:hAnsi="方正楷体_GBK" w:eastAsia="方正楷体_GBK" w:cs="方正楷体_GBK"/>
        <w:sz w:val="32"/>
        <w:szCs w:val="32"/>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7E7E0B"/>
    <w:rsid w:val="17EB1D3B"/>
    <w:rsid w:val="1F37207D"/>
    <w:rsid w:val="427E7E0B"/>
    <w:rsid w:val="45261476"/>
    <w:rsid w:val="568F2BA0"/>
    <w:rsid w:val="63890CEA"/>
    <w:rsid w:val="66443672"/>
    <w:rsid w:val="7C0620E0"/>
    <w:rsid w:val="7C184783"/>
    <w:rsid w:val="7D7E6B5C"/>
    <w:rsid w:val="7E6C5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2026-10-08T00:02:00Z</dcterms:created>
  <dc:creator>Shadow</dc:creator>
  <cp:lastModifiedBy>Shadow</cp:lastModifiedBy>
  <dcterms:modified xsi:type="dcterms:W3CDTF">2026-10-08T00:02:59Z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12EF3F0F00C4479FA626593503D5FA72_11</vt:lpwstr>
  </property>
  <property fmtid="{D5CDD505-2E9C-101B-9397-08002B2CF9AE}" pid="4" name="KSOTemplateDocerSaveRecord">
    <vt:lpwstr>eyJoZGlkIjoiYTU0NjRiZTA5OTYyYTc5YjFmYjAxNDFkYmE5NzliYmUiLCJ1c2VySWQiOiI0NDA0ODU1MzYifQ==</vt:lpwstr>
  </property>
</Properties>
</file>